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EDD" w:rsidRDefault="00124EDD">
      <w:pPr>
        <w:widowControl w:val="0"/>
        <w:pBdr>
          <w:top w:val="nil"/>
          <w:left w:val="nil"/>
          <w:bottom w:val="nil"/>
          <w:right w:val="nil"/>
          <w:between w:val="nil"/>
        </w:pBdr>
        <w:spacing w:after="0"/>
      </w:pPr>
      <w:bookmarkStart w:id="0" w:name="_GoBack"/>
      <w:bookmarkEnd w:id="0"/>
    </w:p>
    <w:p w:rsidR="00124EDD" w:rsidRDefault="007158A9">
      <w:pPr>
        <w:rPr>
          <w:rFonts w:ascii="Arial" w:eastAsia="Arial" w:hAnsi="Arial" w:cs="Arial"/>
          <w:b/>
          <w:sz w:val="36"/>
          <w:szCs w:val="36"/>
        </w:rPr>
      </w:pPr>
      <w:r>
        <w:rPr>
          <w:rFonts w:ascii="Arial" w:eastAsia="Arial" w:hAnsi="Arial" w:cs="Arial"/>
          <w:b/>
          <w:sz w:val="36"/>
          <w:szCs w:val="36"/>
        </w:rPr>
        <w:t>Joint Schedule 12 (Supply Chain Visibility)</w:t>
      </w:r>
    </w:p>
    <w:p w:rsidR="00124EDD" w:rsidRDefault="007158A9">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124EDD" w:rsidRDefault="00124EDD">
      <w:pPr>
        <w:pBdr>
          <w:top w:val="nil"/>
          <w:left w:val="nil"/>
          <w:bottom w:val="nil"/>
          <w:right w:val="nil"/>
          <w:between w:val="nil"/>
        </w:pBdr>
        <w:spacing w:after="0"/>
        <w:ind w:left="720"/>
        <w:rPr>
          <w:rFonts w:ascii="Arial" w:eastAsia="Arial" w:hAnsi="Arial" w:cs="Arial"/>
          <w:b/>
          <w:color w:val="000000"/>
          <w:sz w:val="24"/>
          <w:szCs w:val="24"/>
        </w:rPr>
      </w:pPr>
    </w:p>
    <w:p w:rsidR="00124EDD" w:rsidRDefault="007158A9">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124EDD">
        <w:trPr>
          <w:trHeight w:val="20"/>
        </w:trPr>
        <w:tc>
          <w:tcPr>
            <w:tcW w:w="3342" w:type="dxa"/>
          </w:tcPr>
          <w:p w:rsidR="00124EDD" w:rsidRDefault="007158A9">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124EDD" w:rsidRDefault="007158A9">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124EDD">
        <w:trPr>
          <w:trHeight w:val="20"/>
        </w:trPr>
        <w:tc>
          <w:tcPr>
            <w:tcW w:w="3342" w:type="dxa"/>
          </w:tcPr>
          <w:p w:rsidR="00124EDD" w:rsidRDefault="007158A9">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124EDD" w:rsidRDefault="007158A9">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124EDD">
        <w:trPr>
          <w:trHeight w:val="20"/>
        </w:trPr>
        <w:tc>
          <w:tcPr>
            <w:tcW w:w="3342" w:type="dxa"/>
          </w:tcPr>
          <w:p w:rsidR="00124EDD" w:rsidRDefault="007158A9">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124EDD" w:rsidRDefault="007158A9">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124EDD">
        <w:trPr>
          <w:trHeight w:val="20"/>
        </w:trPr>
        <w:tc>
          <w:tcPr>
            <w:tcW w:w="3342" w:type="dxa"/>
          </w:tcPr>
          <w:p w:rsidR="00124EDD" w:rsidRDefault="007158A9">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124EDD" w:rsidRDefault="007158A9">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w:t>
            </w:r>
            <w:r>
              <w:rPr>
                <w:rFonts w:ascii="Arial" w:eastAsia="Arial" w:hAnsi="Arial" w:cs="Arial"/>
                <w:color w:val="000000"/>
                <w:sz w:val="24"/>
                <w:szCs w:val="24"/>
              </w:rPr>
              <w:t>r social, environmental or cultural objectives.</w:t>
            </w:r>
          </w:p>
        </w:tc>
      </w:tr>
      <w:tr w:rsidR="00124EDD">
        <w:trPr>
          <w:trHeight w:val="20"/>
        </w:trPr>
        <w:tc>
          <w:tcPr>
            <w:tcW w:w="3342" w:type="dxa"/>
          </w:tcPr>
          <w:p w:rsidR="00124EDD" w:rsidRDefault="00124EDD">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124EDD" w:rsidRDefault="00124EDD">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124EDD" w:rsidRDefault="007158A9">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124EDD" w:rsidRDefault="00124EDD">
      <w:pPr>
        <w:pBdr>
          <w:top w:val="nil"/>
          <w:left w:val="nil"/>
          <w:bottom w:val="nil"/>
          <w:right w:val="nil"/>
          <w:between w:val="nil"/>
        </w:pBdr>
        <w:spacing w:after="0"/>
        <w:ind w:left="720"/>
        <w:rPr>
          <w:rFonts w:ascii="Arial" w:eastAsia="Arial" w:hAnsi="Arial" w:cs="Arial"/>
          <w:b/>
          <w:color w:val="000000"/>
          <w:sz w:val="24"/>
          <w:szCs w:val="24"/>
        </w:rPr>
      </w:pPr>
    </w:p>
    <w:p w:rsidR="00124EDD" w:rsidRDefault="007158A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124EDD" w:rsidRDefault="00124EDD">
      <w:pPr>
        <w:pBdr>
          <w:top w:val="nil"/>
          <w:left w:val="nil"/>
          <w:bottom w:val="nil"/>
          <w:right w:val="nil"/>
          <w:between w:val="nil"/>
        </w:pBdr>
        <w:spacing w:after="0"/>
        <w:ind w:left="720"/>
        <w:rPr>
          <w:rFonts w:ascii="Arial" w:eastAsia="Arial" w:hAnsi="Arial" w:cs="Arial"/>
          <w:color w:val="000000"/>
          <w:sz w:val="24"/>
          <w:szCs w:val="24"/>
        </w:rPr>
      </w:pPr>
    </w:p>
    <w:p w:rsidR="00124EDD" w:rsidRDefault="007158A9">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124EDD" w:rsidRDefault="007158A9">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Subcontractor; </w:t>
      </w:r>
    </w:p>
    <w:p w:rsidR="00124EDD" w:rsidRDefault="007158A9">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124EDD" w:rsidRDefault="007158A9">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w:t>
      </w:r>
      <w:r>
        <w:rPr>
          <w:rFonts w:ascii="Arial" w:eastAsia="Arial" w:hAnsi="Arial" w:cs="Arial"/>
          <w:color w:val="000000"/>
          <w:sz w:val="24"/>
          <w:szCs w:val="24"/>
        </w:rPr>
        <w:t xml:space="preserve">ormat and frequency as reasonably specified by the Relevant Authority; and </w:t>
      </w:r>
    </w:p>
    <w:p w:rsidR="00124EDD" w:rsidRDefault="007158A9">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rsidR="00124EDD" w:rsidRDefault="00124EDD">
      <w:pPr>
        <w:pBdr>
          <w:top w:val="nil"/>
          <w:left w:val="nil"/>
          <w:bottom w:val="nil"/>
          <w:right w:val="nil"/>
          <w:between w:val="nil"/>
        </w:pBdr>
        <w:spacing w:after="0"/>
        <w:ind w:left="1080"/>
        <w:rPr>
          <w:rFonts w:ascii="Arial" w:eastAsia="Arial" w:hAnsi="Arial" w:cs="Arial"/>
          <w:color w:val="000000"/>
          <w:sz w:val="24"/>
          <w:szCs w:val="24"/>
        </w:rPr>
      </w:pPr>
    </w:p>
    <w:p w:rsidR="00124EDD" w:rsidRDefault="00124EDD">
      <w:pPr>
        <w:pBdr>
          <w:top w:val="nil"/>
          <w:left w:val="nil"/>
          <w:bottom w:val="nil"/>
          <w:right w:val="nil"/>
          <w:between w:val="nil"/>
        </w:pBdr>
        <w:spacing w:after="0"/>
        <w:ind w:left="1080"/>
        <w:rPr>
          <w:rFonts w:ascii="Arial" w:eastAsia="Arial" w:hAnsi="Arial" w:cs="Arial"/>
          <w:color w:val="000000"/>
          <w:sz w:val="24"/>
          <w:szCs w:val="24"/>
        </w:rPr>
      </w:pPr>
    </w:p>
    <w:p w:rsidR="00124EDD" w:rsidRDefault="007158A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rsidR="00124EDD" w:rsidRDefault="00124EDD">
      <w:pPr>
        <w:pBdr>
          <w:top w:val="nil"/>
          <w:left w:val="nil"/>
          <w:bottom w:val="nil"/>
          <w:right w:val="nil"/>
          <w:between w:val="nil"/>
        </w:pBdr>
        <w:spacing w:after="0"/>
        <w:ind w:left="993" w:hanging="633"/>
        <w:rPr>
          <w:rFonts w:ascii="Arial" w:eastAsia="Arial" w:hAnsi="Arial" w:cs="Arial"/>
          <w:color w:val="000000"/>
          <w:sz w:val="24"/>
          <w:szCs w:val="24"/>
        </w:rPr>
      </w:pPr>
    </w:p>
    <w:p w:rsidR="00124EDD" w:rsidRDefault="007158A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rsidR="00124EDD" w:rsidRDefault="00124EDD">
      <w:pPr>
        <w:pBdr>
          <w:top w:val="nil"/>
          <w:left w:val="nil"/>
          <w:bottom w:val="nil"/>
          <w:right w:val="nil"/>
          <w:between w:val="nil"/>
        </w:pBdr>
        <w:spacing w:after="0"/>
        <w:ind w:left="993" w:hanging="633"/>
        <w:rPr>
          <w:rFonts w:ascii="Arial" w:eastAsia="Arial" w:hAnsi="Arial" w:cs="Arial"/>
          <w:color w:val="000000"/>
          <w:sz w:val="24"/>
          <w:szCs w:val="24"/>
        </w:rPr>
      </w:pPr>
    </w:p>
    <w:p w:rsidR="00124EDD" w:rsidRDefault="007158A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rsidR="00124EDD" w:rsidRDefault="00124EDD">
      <w:pPr>
        <w:pBdr>
          <w:top w:val="nil"/>
          <w:left w:val="nil"/>
          <w:bottom w:val="nil"/>
          <w:right w:val="nil"/>
          <w:between w:val="nil"/>
        </w:pBdr>
        <w:spacing w:after="0"/>
        <w:ind w:left="720"/>
        <w:rPr>
          <w:rFonts w:ascii="Arial" w:eastAsia="Arial" w:hAnsi="Arial" w:cs="Arial"/>
          <w:color w:val="000000"/>
          <w:sz w:val="24"/>
          <w:szCs w:val="24"/>
        </w:rPr>
      </w:pPr>
    </w:p>
    <w:p w:rsidR="00124EDD" w:rsidRDefault="007158A9">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124EDD" w:rsidRDefault="00124EDD">
      <w:pPr>
        <w:pBdr>
          <w:top w:val="nil"/>
          <w:left w:val="nil"/>
          <w:bottom w:val="nil"/>
          <w:right w:val="nil"/>
          <w:between w:val="nil"/>
        </w:pBdr>
        <w:spacing w:after="0"/>
        <w:ind w:left="720"/>
        <w:rPr>
          <w:rFonts w:ascii="Arial" w:eastAsia="Arial" w:hAnsi="Arial" w:cs="Arial"/>
          <w:b/>
          <w:color w:val="000000"/>
          <w:sz w:val="24"/>
          <w:szCs w:val="24"/>
        </w:rPr>
      </w:pPr>
    </w:p>
    <w:p w:rsidR="00124EDD" w:rsidRDefault="007158A9">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rsidR="00124EDD" w:rsidRDefault="007158A9">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124EDD" w:rsidRDefault="007158A9">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124EDD" w:rsidRDefault="007158A9">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124EDD" w:rsidRDefault="00124EDD">
      <w:pPr>
        <w:pBdr>
          <w:top w:val="nil"/>
          <w:left w:val="nil"/>
          <w:bottom w:val="nil"/>
          <w:right w:val="nil"/>
          <w:between w:val="nil"/>
        </w:pBdr>
        <w:spacing w:after="0" w:line="360" w:lineRule="auto"/>
        <w:jc w:val="both"/>
        <w:rPr>
          <w:rFonts w:ascii="Arial" w:eastAsia="Arial" w:hAnsi="Arial" w:cs="Arial"/>
          <w:color w:val="000000"/>
          <w:sz w:val="24"/>
          <w:szCs w:val="24"/>
        </w:rPr>
      </w:pPr>
    </w:p>
    <w:p w:rsidR="00124EDD" w:rsidRDefault="007158A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sz w:val="24"/>
          <w:szCs w:val="24"/>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sz w:val="24"/>
          <w:szCs w:val="24"/>
        </w:rPr>
        <w:t>g a replacement version. The Relevant Authority agrees to give at least thirty (30) days’ notice in writing of any such change and shall specify the date from which it must be used.</w:t>
      </w:r>
    </w:p>
    <w:p w:rsidR="00124EDD" w:rsidRDefault="00124EDD">
      <w:pPr>
        <w:pBdr>
          <w:top w:val="nil"/>
          <w:left w:val="nil"/>
          <w:bottom w:val="nil"/>
          <w:right w:val="nil"/>
          <w:between w:val="nil"/>
        </w:pBdr>
        <w:spacing w:after="0"/>
        <w:ind w:left="720"/>
        <w:rPr>
          <w:rFonts w:ascii="Arial" w:eastAsia="Arial" w:hAnsi="Arial" w:cs="Arial"/>
          <w:color w:val="000000"/>
          <w:sz w:val="24"/>
          <w:szCs w:val="24"/>
        </w:rPr>
      </w:pPr>
    </w:p>
    <w:p w:rsidR="00124EDD" w:rsidRDefault="007158A9">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The Supplier further agrees and acknowledges that it may not make any ame</w:t>
      </w:r>
      <w:r>
        <w:rPr>
          <w:rFonts w:ascii="Arial" w:eastAsia="Arial" w:hAnsi="Arial" w:cs="Arial"/>
          <w:color w:val="000000"/>
          <w:sz w:val="24"/>
          <w:szCs w:val="24"/>
        </w:rPr>
        <w:t xml:space="preserve">ndment to the Supply Chain Information Report Template without the prior Approval of the Authority.  </w:t>
      </w:r>
    </w:p>
    <w:p w:rsidR="00124EDD" w:rsidRDefault="00124EDD">
      <w:pPr>
        <w:rPr>
          <w:rFonts w:ascii="Arial" w:eastAsia="Arial" w:hAnsi="Arial" w:cs="Arial"/>
          <w:sz w:val="24"/>
          <w:szCs w:val="24"/>
        </w:rPr>
      </w:pPr>
    </w:p>
    <w:p w:rsidR="00124EDD" w:rsidRDefault="007158A9">
      <w:pPr>
        <w:ind w:left="360"/>
        <w:jc w:val="center"/>
        <w:rPr>
          <w:rFonts w:ascii="Arial" w:eastAsia="Arial" w:hAnsi="Arial" w:cs="Arial"/>
          <w:b/>
          <w:sz w:val="24"/>
          <w:szCs w:val="24"/>
        </w:rPr>
      </w:pPr>
      <w:r>
        <w:rPr>
          <w:rFonts w:ascii="Arial" w:eastAsia="Arial" w:hAnsi="Arial" w:cs="Arial"/>
          <w:b/>
          <w:sz w:val="24"/>
          <w:szCs w:val="24"/>
        </w:rPr>
        <w:t>Annex 1</w:t>
      </w:r>
    </w:p>
    <w:p w:rsidR="00124EDD" w:rsidRDefault="007158A9">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124EDD" w:rsidRDefault="00124EDD">
      <w:pPr>
        <w:rPr>
          <w:rFonts w:ascii="Arial" w:eastAsia="Arial" w:hAnsi="Arial" w:cs="Arial"/>
          <w:sz w:val="24"/>
          <w:szCs w:val="24"/>
        </w:rPr>
      </w:pPr>
    </w:p>
    <w:p w:rsidR="00124EDD" w:rsidRDefault="00124EDD"/>
    <w:p w:rsidR="00124EDD" w:rsidRDefault="007158A9">
      <w:pPr>
        <w:rPr>
          <w:rFonts w:ascii="Arial" w:eastAsia="Arial" w:hAnsi="Arial" w:cs="Arial"/>
          <w:sz w:val="24"/>
          <w:szCs w:val="24"/>
        </w:rPr>
      </w:pPr>
      <w:r>
        <w:rPr>
          <w:rFonts w:ascii="Arial" w:eastAsia="Arial" w:hAnsi="Arial" w:cs="Arial"/>
          <w:sz w:val="24"/>
          <w:szCs w:val="24"/>
        </w:rPr>
        <w:object w:dxaOrig="2336" w:dyaOrig="1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814192454" r:id="rId9"/>
        </w:object>
      </w:r>
    </w:p>
    <w:p w:rsidR="00124EDD" w:rsidRDefault="00124EDD">
      <w:pPr>
        <w:rPr>
          <w:rFonts w:ascii="Arial" w:eastAsia="Arial" w:hAnsi="Arial" w:cs="Arial"/>
          <w:sz w:val="24"/>
          <w:szCs w:val="24"/>
        </w:rPr>
      </w:pPr>
    </w:p>
    <w:p w:rsidR="00124EDD" w:rsidRDefault="00124EDD">
      <w:pPr>
        <w:rPr>
          <w:rFonts w:ascii="Arial" w:eastAsia="Arial" w:hAnsi="Arial" w:cs="Arial"/>
          <w:sz w:val="24"/>
          <w:szCs w:val="24"/>
        </w:rPr>
      </w:pPr>
    </w:p>
    <w:sectPr w:rsidR="00124EDD">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8A9" w:rsidRDefault="007158A9">
      <w:pPr>
        <w:spacing w:after="0" w:line="240" w:lineRule="auto"/>
      </w:pPr>
      <w:r>
        <w:separator/>
      </w:r>
    </w:p>
  </w:endnote>
  <w:endnote w:type="continuationSeparator" w:id="0">
    <w:p w:rsidR="007158A9" w:rsidRDefault="00715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EDD" w:rsidRDefault="007158A9">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sidR="00087E38">
      <w:rPr>
        <w:color w:val="000000"/>
      </w:rPr>
      <w:fldChar w:fldCharType="separate"/>
    </w:r>
    <w:r w:rsidR="00087E38">
      <w:rPr>
        <w:noProof/>
        <w:color w:val="000000"/>
      </w:rPr>
      <w:t>1</w:t>
    </w:r>
    <w:r>
      <w:rPr>
        <w:color w:val="000000"/>
      </w:rPr>
      <w:fldChar w:fldCharType="end"/>
    </w:r>
  </w:p>
  <w:p w:rsidR="00124EDD" w:rsidRDefault="007158A9">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RM6308</w:t>
    </w:r>
  </w:p>
  <w:p w:rsidR="00124EDD" w:rsidRDefault="007158A9">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rsidR="00124EDD" w:rsidRDefault="007158A9">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8A9" w:rsidRDefault="007158A9">
      <w:pPr>
        <w:spacing w:after="0" w:line="240" w:lineRule="auto"/>
      </w:pPr>
      <w:r>
        <w:separator/>
      </w:r>
    </w:p>
  </w:footnote>
  <w:footnote w:type="continuationSeparator" w:id="0">
    <w:p w:rsidR="007158A9" w:rsidRDefault="00715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EDD" w:rsidRDefault="007158A9">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124EDD" w:rsidRDefault="007158A9">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23</w:t>
    </w:r>
  </w:p>
  <w:p w:rsidR="00124EDD" w:rsidRDefault="00124ED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5D5"/>
    <w:multiLevelType w:val="multilevel"/>
    <w:tmpl w:val="758033A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7D4044F0"/>
    <w:multiLevelType w:val="multilevel"/>
    <w:tmpl w:val="E2D464A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EDD"/>
    <w:rsid w:val="00087E38"/>
    <w:rsid w:val="00124EDD"/>
    <w:rsid w:val="007158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485B15-1EDF-4E18-AD04-1C4FE47B1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HA4Vn+rJpRuNmH1CY5KO3cVHhg==">CgMxLjAyCGguZ2pkZ3hzOAByITFqd1F2WUdVM2VPbS05dzFhaXdwUm1lMy1ua1hXZVp2Wg==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Mukesh Jethwa</cp:lastModifiedBy>
  <cp:revision>2</cp:revision>
  <dcterms:created xsi:type="dcterms:W3CDTF">2025-07-16T16:35:00Z</dcterms:created>
  <dcterms:modified xsi:type="dcterms:W3CDTF">2025-07-16T16:35:00Z</dcterms:modified>
</cp:coreProperties>
</file>